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D8738F" w:rsidP="000872FF">
      <w:pPr>
        <w:pStyle w:val="Lauftext"/>
        <w:jc w:val="left"/>
        <w:rPr>
          <w:rFonts w:ascii="Arial" w:hAnsi="Arial" w:cs="Arial"/>
        </w:rPr>
      </w:pPr>
      <w:r>
        <w:rPr>
          <w:rFonts w:ascii="Arial" w:hAnsi="Arial" w:cs="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25158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w:t>
                            </w:r>
                            <w:r w:rsidR="00B80209">
                              <w:rPr>
                                <w:rFonts w:ascii="Myriad Pro" w:hAnsi="Myriad Pro"/>
                                <w:color w:val="525765"/>
                                <w:sz w:val="16"/>
                                <w:szCs w:val="16"/>
                              </w:rPr>
                              <w:t>.com</w:t>
                            </w:r>
                          </w:p>
                          <w:p w:rsidR="00E74C76" w:rsidRPr="00E1524C" w:rsidRDefault="00D8738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E74C76" w:rsidRPr="00E1524C" w:rsidRDefault="00E74C76" w:rsidP="00E74C76">
                            <w:pPr>
                              <w:pStyle w:val="Lauftext"/>
                              <w:widowControl w:val="0"/>
                              <w:jc w:val="left"/>
                              <w:rPr>
                                <w:rFonts w:ascii="Myriad Pro" w:hAnsi="Myriad Pro" w:cs="Arial"/>
                                <w:color w:val="525765"/>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25158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w:t>
                      </w:r>
                      <w:r w:rsidR="00B80209">
                        <w:rPr>
                          <w:rFonts w:ascii="Myriad Pro" w:hAnsi="Myriad Pro"/>
                          <w:color w:val="525765"/>
                          <w:sz w:val="16"/>
                          <w:szCs w:val="16"/>
                        </w:rPr>
                        <w:t>.com</w:t>
                      </w:r>
                    </w:p>
                    <w:p w:rsidR="00E74C76" w:rsidRPr="00E1524C" w:rsidRDefault="00D8738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E74C76" w:rsidRPr="00E1524C" w:rsidRDefault="00E74C76" w:rsidP="00E74C76">
                      <w:pPr>
                        <w:pStyle w:val="Lauftext"/>
                        <w:widowControl w:val="0"/>
                        <w:jc w:val="left"/>
                        <w:rPr>
                          <w:rFonts w:ascii="Myriad Pro" w:hAnsi="Myriad Pro" w:cs="Arial"/>
                          <w:color w:val="525765"/>
                          <w:sz w:val="16"/>
                          <w:szCs w:val="16"/>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E74C76" w:rsidRDefault="00F54893" w:rsidP="000872FF">
      <w:pPr>
        <w:pStyle w:val="berschrift1"/>
      </w:pPr>
      <w:r>
        <w:t>Integration of IO-Link into OPC UA</w:t>
      </w:r>
    </w:p>
    <w:p w:rsidR="000872FF" w:rsidRPr="00E74C76" w:rsidRDefault="000872FF" w:rsidP="000872FF">
      <w:pPr>
        <w:spacing w:after="0" w:line="360" w:lineRule="auto"/>
        <w:jc w:val="both"/>
      </w:pPr>
    </w:p>
    <w:p w:rsidR="00F54893" w:rsidRPr="00E74C76" w:rsidRDefault="00F54893" w:rsidP="00F54893">
      <w:pPr>
        <w:spacing w:after="0" w:line="360" w:lineRule="auto"/>
        <w:jc w:val="both"/>
      </w:pPr>
      <w:r>
        <w:rPr>
          <w:b/>
        </w:rPr>
        <w:t>Karlsruhe, August</w:t>
      </w:r>
      <w:r w:rsidR="000016A8">
        <w:rPr>
          <w:b/>
        </w:rPr>
        <w:t xml:space="preserve"> </w:t>
      </w:r>
      <w:r w:rsidR="0066116A">
        <w:rPr>
          <w:b/>
        </w:rPr>
        <w:t>30</w:t>
      </w:r>
      <w:r w:rsidR="000016A8" w:rsidRPr="000016A8">
        <w:rPr>
          <w:b/>
          <w:vertAlign w:val="superscript"/>
        </w:rPr>
        <w:t>th</w:t>
      </w:r>
      <w:r w:rsidR="000016A8">
        <w:rPr>
          <w:b/>
        </w:rPr>
        <w:t xml:space="preserve">, </w:t>
      </w:r>
      <w:r>
        <w:rPr>
          <w:b/>
        </w:rPr>
        <w:t>2017</w:t>
      </w:r>
      <w:r>
        <w:t xml:space="preserve">: The IO-Link community has founded a technical working group for specifying the integration of IO-Link into OPC UA based on existing use cases. The Industry 4.0 platform sees OPC UA </w:t>
      </w:r>
      <w:r w:rsidR="000016A8">
        <w:t xml:space="preserve">(from OPC Foundation) </w:t>
      </w:r>
      <w:r>
        <w:t>as a suitable architecture model for implementing consistent integration of IT on the field level. This is why a corresponding standard for a data and function model is now being developed within the framework of the IO-Link community so as to accur</w:t>
      </w:r>
      <w:r w:rsidR="000016A8">
        <w:t>ately represent future IO-Link D</w:t>
      </w:r>
      <w:r>
        <w:t xml:space="preserve">evices and IO-Link </w:t>
      </w:r>
      <w:r w:rsidR="000016A8">
        <w:t>M</w:t>
      </w:r>
      <w:r>
        <w:t>asters in OPC UA. This approach follows the general recomm</w:t>
      </w:r>
      <w:r w:rsidR="000016A8">
        <w:t>endation for developing OPC UA C</w:t>
      </w:r>
      <w:r>
        <w:t xml:space="preserve">ompanion </w:t>
      </w:r>
      <w:r w:rsidR="000016A8">
        <w:t>S</w:t>
      </w:r>
      <w:r>
        <w:t>tandards.</w:t>
      </w:r>
    </w:p>
    <w:p w:rsidR="00F54893" w:rsidRDefault="00F54893" w:rsidP="00F54893">
      <w:pPr>
        <w:spacing w:after="0" w:line="360" w:lineRule="auto"/>
        <w:jc w:val="both"/>
      </w:pPr>
    </w:p>
    <w:p w:rsidR="00F54893" w:rsidRDefault="00F54893" w:rsidP="00F54893">
      <w:pPr>
        <w:spacing w:after="0" w:line="360" w:lineRule="auto"/>
        <w:jc w:val="both"/>
      </w:pPr>
      <w:r>
        <w:t>Over the past few years, IO-Link as a point-to-point protocol for sensors and actuators has been able to solidly establish itself and increase its presence. It is manufacturer independent (and thus field bus independent), has come to support more than 4,500 devices and enjoys steadily increasing acceptance.</w:t>
      </w:r>
    </w:p>
    <w:p w:rsidR="00F54893" w:rsidRDefault="00F54893" w:rsidP="00F54893">
      <w:pPr>
        <w:spacing w:after="0" w:line="360" w:lineRule="auto"/>
        <w:jc w:val="both"/>
      </w:pPr>
    </w:p>
    <w:p w:rsidR="00F54893" w:rsidRDefault="00F54893" w:rsidP="00F54893">
      <w:pPr>
        <w:spacing w:after="0" w:line="360" w:lineRule="auto"/>
        <w:jc w:val="both"/>
      </w:pPr>
      <w:r>
        <w:t>Through the use of correspon</w:t>
      </w:r>
      <w:r w:rsidR="000016A8">
        <w:t>ding logic, so-called "IO-Link M</w:t>
      </w:r>
      <w:r>
        <w:t>asters"</w:t>
      </w:r>
      <w:r w:rsidR="000016A8">
        <w:t>,</w:t>
      </w:r>
      <w:r>
        <w:t xml:space="preserve"> IO-Link sensors and actuators can be connected to the various different field bus systems without further adjustment. Such masters can even be economically integrated into simple devices today. IO-Link thus offers the opportunity to access a very broad range of sensors and </w:t>
      </w:r>
      <w:r w:rsidR="000016A8">
        <w:t>actuators in a standardized way and fieldbus independent.</w:t>
      </w:r>
    </w:p>
    <w:p w:rsidR="00F54893" w:rsidRDefault="00F54893" w:rsidP="00F54893">
      <w:pPr>
        <w:spacing w:after="0" w:line="360" w:lineRule="auto"/>
        <w:jc w:val="both"/>
      </w:pPr>
    </w:p>
    <w:p w:rsidR="008A2B5A" w:rsidRDefault="000016A8" w:rsidP="00F54893">
      <w:pPr>
        <w:spacing w:after="0" w:line="360" w:lineRule="auto"/>
        <w:jc w:val="both"/>
      </w:pPr>
      <w:r>
        <w:t xml:space="preserve">As </w:t>
      </w:r>
      <w:proofErr w:type="spellStart"/>
      <w:r>
        <w:t>Industrie</w:t>
      </w:r>
      <w:proofErr w:type="spellEnd"/>
      <w:r w:rsidR="00F54893">
        <w:t xml:space="preserve"> 4.0 efforts progress, it is also necessary to se</w:t>
      </w:r>
      <w:r>
        <w:t>mantically incorporate IO-Link D</w:t>
      </w:r>
      <w:r w:rsidR="00F54893">
        <w:t xml:space="preserve">evices into systems on a higher level than the field bus in order to evaluate sensor data.  This functionality is often designated as a "sensor to the cloud" to express that sensor data is analyzed by IT systems </w:t>
      </w:r>
      <w:r w:rsidR="00F54893">
        <w:lastRenderedPageBreak/>
        <w:t>outside the automation process. In this way, sensor data can also be seamlessly linked to MES and ERP systems.</w:t>
      </w:r>
    </w:p>
    <w:p w:rsidR="00507DB1" w:rsidRDefault="00507DB1" w:rsidP="00F54893">
      <w:pPr>
        <w:spacing w:after="0" w:line="360" w:lineRule="auto"/>
        <w:jc w:val="both"/>
      </w:pPr>
    </w:p>
    <w:p w:rsidR="00507DB1" w:rsidRDefault="00507DB1" w:rsidP="00F54893">
      <w:pPr>
        <w:spacing w:after="0" w:line="360" w:lineRule="auto"/>
        <w:jc w:val="both"/>
      </w:pPr>
      <w:r>
        <w:t>The goal of this new IO-Link/OPC UA working group (C4/PG51)</w:t>
      </w:r>
      <w:r w:rsidR="000016A8">
        <w:t xml:space="preserve">, </w:t>
      </w:r>
      <w:proofErr w:type="spellStart"/>
      <w:r w:rsidR="000016A8">
        <w:t>lead</w:t>
      </w:r>
      <w:proofErr w:type="spellEnd"/>
      <w:r w:rsidR="000016A8">
        <w:t xml:space="preserve"> by Michael </w:t>
      </w:r>
      <w:proofErr w:type="spellStart"/>
      <w:r w:rsidR="000016A8">
        <w:t>Tiegelkamp</w:t>
      </w:r>
      <w:proofErr w:type="spellEnd"/>
      <w:r w:rsidR="000016A8">
        <w:t xml:space="preserve"> (TE Connectivity),</w:t>
      </w:r>
      <w:r>
        <w:t xml:space="preserve"> is to complete a final proposal for the </w:t>
      </w:r>
      <w:r w:rsidR="000016A8">
        <w:t>Companion S</w:t>
      </w:r>
      <w:r>
        <w:t>pecification</w:t>
      </w:r>
      <w:r w:rsidR="000016A8">
        <w:t xml:space="preserve"> (draft for voting)</w:t>
      </w:r>
      <w:r>
        <w:t xml:space="preserve"> before the end of 2018.</w:t>
      </w:r>
    </w:p>
    <w:p w:rsidR="000872FF" w:rsidRPr="00E74C76" w:rsidRDefault="000872FF" w:rsidP="000872FF">
      <w:pPr>
        <w:spacing w:after="0" w:line="360" w:lineRule="auto"/>
        <w:jc w:val="both"/>
      </w:pPr>
    </w:p>
    <w:p w:rsidR="000872FF" w:rsidRPr="00E74C76" w:rsidRDefault="000872FF" w:rsidP="000872FF">
      <w:pPr>
        <w:spacing w:after="0" w:line="360" w:lineRule="auto"/>
        <w:jc w:val="center"/>
      </w:pPr>
      <w:r>
        <w:t>***</w:t>
      </w:r>
    </w:p>
    <w:p w:rsidR="00D5021D" w:rsidRPr="00D5021D" w:rsidRDefault="00D5021D" w:rsidP="000872FF">
      <w:pPr>
        <w:spacing w:line="360" w:lineRule="auto"/>
      </w:pPr>
      <w:r>
        <w:rPr>
          <w:b/>
        </w:rPr>
        <w:t xml:space="preserve">Graphic:  </w:t>
      </w:r>
      <w:r>
        <w:t xml:space="preserve">A final proposal for the companion specification is to be available before the end of 2018. </w:t>
      </w:r>
    </w:p>
    <w:p w:rsidR="00D5021D" w:rsidRDefault="00D5021D" w:rsidP="000872FF">
      <w:pPr>
        <w:spacing w:line="360" w:lineRule="auto"/>
        <w:rPr>
          <w:b/>
        </w:rPr>
      </w:pPr>
      <w:r>
        <w:rPr>
          <w:b/>
          <w:noProof/>
          <w:lang w:val="de-DE" w:eastAsia="de-DE"/>
        </w:rPr>
        <w:drawing>
          <wp:inline distT="0" distB="0" distL="0" distR="0">
            <wp:extent cx="5759450" cy="21615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Link Companion Std.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2161540"/>
                    </a:xfrm>
                    <a:prstGeom prst="rect">
                      <a:avLst/>
                    </a:prstGeom>
                  </pic:spPr>
                </pic:pic>
              </a:graphicData>
            </a:graphic>
          </wp:inline>
        </w:drawing>
      </w:r>
    </w:p>
    <w:p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rsidR="0056643D" w:rsidRDefault="0056643D" w:rsidP="0056643D">
      <w:pPr>
        <w:spacing w:after="0" w:line="360" w:lineRule="auto"/>
      </w:pPr>
      <w:proofErr w:type="gramStart"/>
      <w:r>
        <w:t xml:space="preserve">PROFIBUS </w:t>
      </w:r>
      <w:proofErr w:type="spellStart"/>
      <w:r>
        <w:t>Nutzerorganisation</w:t>
      </w:r>
      <w:proofErr w:type="spellEnd"/>
      <w:r>
        <w:t xml:space="preserve"> e. V.</w:t>
      </w:r>
      <w:proofErr w:type="gramEnd"/>
    </w:p>
    <w:p w:rsidR="00171F79" w:rsidRDefault="00171F79" w:rsidP="000872FF">
      <w:pPr>
        <w:spacing w:after="0" w:line="360" w:lineRule="auto"/>
      </w:pPr>
      <w:r>
        <w:t>PI (PROFIBUS &amp; PROFINET International)</w:t>
      </w:r>
    </w:p>
    <w:p w:rsidR="0025158F" w:rsidRPr="00663C04" w:rsidRDefault="0025158F" w:rsidP="000872FF">
      <w:pPr>
        <w:spacing w:after="0" w:line="360" w:lineRule="auto"/>
      </w:pPr>
      <w:proofErr w:type="gramStart"/>
      <w:r>
        <w:t>c/o</w:t>
      </w:r>
      <w:proofErr w:type="gramEnd"/>
      <w:r>
        <w:t xml:space="preserve"> IO-Link Community</w:t>
      </w:r>
    </w:p>
    <w:p w:rsidR="000872FF" w:rsidRPr="00663C04" w:rsidRDefault="000872FF" w:rsidP="000872FF">
      <w:pPr>
        <w:spacing w:after="0" w:line="360" w:lineRule="auto"/>
      </w:pPr>
      <w:r>
        <w:t>Barbara Weber</w:t>
      </w:r>
    </w:p>
    <w:p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0872FF" w:rsidRPr="0028729F" w:rsidRDefault="000872FF" w:rsidP="000872FF">
      <w:pPr>
        <w:spacing w:after="0" w:line="360" w:lineRule="auto"/>
      </w:pPr>
      <w:r>
        <w:t>Phone: +49 (721) 96 58 - 5 49</w:t>
      </w:r>
    </w:p>
    <w:p w:rsidR="000872FF" w:rsidRPr="0028729F"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(721) 96 58 - 5 89</w:t>
      </w:r>
    </w:p>
    <w:p w:rsidR="000872FF" w:rsidRPr="0028729F" w:rsidRDefault="000872FF" w:rsidP="000872FF">
      <w:pPr>
        <w:spacing w:after="0" w:line="360" w:lineRule="auto"/>
      </w:pPr>
      <w:r>
        <w:t>Barbara.Weber@profibus.com</w:t>
      </w:r>
    </w:p>
    <w:p w:rsidR="000872FF" w:rsidRPr="00663C04" w:rsidRDefault="008165ED" w:rsidP="000872FF">
      <w:pPr>
        <w:spacing w:after="0" w:line="360" w:lineRule="auto"/>
      </w:pPr>
      <w:hyperlink r:id="rId11" w:history="1">
        <w:r w:rsidR="00D5021D">
          <w:rPr>
            <w:rStyle w:val="Hyperlink"/>
          </w:rPr>
          <w:t>http://www.PROFIBUS.com</w:t>
        </w:r>
      </w:hyperlink>
    </w:p>
    <w:p w:rsidR="00C830D7" w:rsidRPr="00F95002" w:rsidRDefault="000872FF" w:rsidP="004A4735">
      <w:pPr>
        <w:spacing w:after="0" w:line="360" w:lineRule="auto"/>
      </w:pPr>
      <w:r>
        <w:br/>
        <w:t xml:space="preserve">The text of this press release is available for download at </w:t>
      </w:r>
      <w:hyperlink r:id="rId12" w:history="1">
        <w:r>
          <w:rPr>
            <w:rStyle w:val="Hyperlink"/>
          </w:rPr>
          <w:t>www.profibus.com</w:t>
        </w:r>
      </w:hyperlink>
      <w:r w:rsidR="004A4735">
        <w:t>.</w:t>
      </w:r>
    </w:p>
    <w:sectPr w:rsidR="00C830D7" w:rsidRPr="00F95002" w:rsidSect="001D7239">
      <w:headerReference w:type="even" r:id="rId13"/>
      <w:headerReference w:type="default" r:id="rId14"/>
      <w:footerReference w:type="even" r:id="rId15"/>
      <w:footerReference w:type="default" r:id="rId16"/>
      <w:headerReference w:type="first" r:id="rId17"/>
      <w:footerReference w:type="first" r:id="rId18"/>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FC" w:rsidRDefault="005C19FC" w:rsidP="00FF4B6C">
      <w:pPr>
        <w:spacing w:after="0" w:line="240" w:lineRule="auto"/>
      </w:pPr>
      <w:r>
        <w:separator/>
      </w:r>
    </w:p>
  </w:endnote>
  <w:endnote w:type="continuationSeparator" w:id="0">
    <w:p w:rsidR="005C19FC" w:rsidRDefault="005C19FC"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ED" w:rsidRDefault="008165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165ED">
      <w:rPr>
        <w:noProof/>
      </w:rPr>
      <w:t>2</w:t>
    </w:r>
    <w:r w:rsidRPr="00E27060">
      <w:fldChar w:fldCharType="end"/>
    </w:r>
    <w:r>
      <w:t xml:space="preserve"> of </w:t>
    </w:r>
    <w:r w:rsidRPr="00E27060">
      <w:fldChar w:fldCharType="begin"/>
    </w:r>
    <w:r w:rsidRPr="00E27060">
      <w:instrText>NUMPAGES</w:instrText>
    </w:r>
    <w:r w:rsidRPr="00E27060">
      <w:fldChar w:fldCharType="separate"/>
    </w:r>
    <w:r w:rsidR="008165ED">
      <w:rPr>
        <w:noProof/>
      </w:rPr>
      <w:t>2</w:t>
    </w:r>
    <w:r w:rsidRPr="00E2706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Pr>
        <w:rFonts w:ascii="Arial" w:hAnsi="Arial"/>
        <w:b/>
        <w:caps/>
        <w:color w:val="5B5D6B"/>
        <w:sz w:val="14"/>
        <w:szCs w:val="14"/>
      </w:rPr>
      <w:t>Profibus</w:t>
    </w:r>
    <w:r>
      <w:rPr>
        <w:rFonts w:ascii="Arial" w:hAnsi="Arial"/>
        <w:b/>
        <w:color w:val="5B5D6B"/>
        <w:sz w:val="14"/>
        <w:szCs w:val="14"/>
      </w:rPr>
      <w:t xml:space="preserve"> </w:t>
    </w:r>
    <w:proofErr w:type="spellStart"/>
    <w:r>
      <w:rPr>
        <w:rFonts w:ascii="Arial" w:hAnsi="Arial"/>
        <w:b/>
        <w:color w:val="5B5D6B"/>
        <w:sz w:val="14"/>
        <w:szCs w:val="14"/>
      </w:rPr>
      <w:t>Nutzerorganisation</w:t>
    </w:r>
    <w:proofErr w:type="spellEnd"/>
    <w:r>
      <w:rPr>
        <w:rFonts w:ascii="Arial" w:hAnsi="Arial"/>
        <w:b/>
        <w:color w:val="5B5D6B"/>
        <w:sz w:val="14"/>
        <w:szCs w:val="14"/>
      </w:rPr>
      <w:t xml:space="preserve"> </w:t>
    </w:r>
    <w:proofErr w:type="spellStart"/>
    <w:r>
      <w:rPr>
        <w:rFonts w:ascii="Arial" w:hAnsi="Arial"/>
        <w:b/>
        <w:color w:val="5B5D6B"/>
        <w:sz w:val="14"/>
        <w:szCs w:val="14"/>
      </w:rPr>
      <w:t>e.V</w:t>
    </w:r>
    <w:proofErr w:type="spellEnd"/>
    <w:r>
      <w:rPr>
        <w:rFonts w:ascii="Arial" w:hAnsi="Arial"/>
        <w:b/>
        <w:color w:val="5B5D6B"/>
        <w:sz w:val="14"/>
        <w:szCs w:val="14"/>
      </w:rPr>
      <w:t>.</w:t>
    </w:r>
    <w:r>
      <w:rPr>
        <w:rFonts w:ascii="Arial" w:hAnsi="Arial"/>
        <w:color w:val="5B5D6B"/>
        <w:sz w:val="14"/>
        <w:szCs w:val="14"/>
      </w:rPr>
      <w:t xml:space="preserve"> • </w:t>
    </w:r>
    <w:proofErr w:type="spellStart"/>
    <w:r>
      <w:rPr>
        <w:rFonts w:ascii="Arial" w:hAnsi="Arial"/>
        <w:color w:val="5B5D6B"/>
        <w:sz w:val="14"/>
        <w:szCs w:val="14"/>
      </w:rPr>
      <w:t>Haid</w:t>
    </w:r>
    <w:proofErr w:type="spellEnd"/>
    <w:r>
      <w:rPr>
        <w:rFonts w:ascii="Arial" w:hAnsi="Arial"/>
        <w:color w:val="5B5D6B"/>
        <w:sz w:val="14"/>
        <w:szCs w:val="14"/>
      </w:rPr>
      <w:t>-und-</w:t>
    </w:r>
    <w:proofErr w:type="spellStart"/>
    <w:r>
      <w:rPr>
        <w:rFonts w:ascii="Arial" w:hAnsi="Arial"/>
        <w:color w:val="5B5D6B"/>
        <w:sz w:val="14"/>
        <w:szCs w:val="14"/>
      </w:rPr>
      <w:t>Neu</w:t>
    </w:r>
    <w:proofErr w:type="spellEnd"/>
    <w:r>
      <w:rPr>
        <w:rFonts w:ascii="Arial" w:hAnsi="Arial"/>
        <w:color w:val="5B5D6B"/>
        <w:sz w:val="14"/>
        <w:szCs w:val="14"/>
      </w:rPr>
      <w:t xml:space="preserve">-Str. 7 • 76131 Karlsruhe • Phone: +49 (721) 96 58 590 • </w:t>
    </w:r>
    <w:proofErr w:type="gramStart"/>
    <w:r>
      <w:rPr>
        <w:rFonts w:ascii="Arial" w:hAnsi="Arial"/>
        <w:color w:val="5B5D6B"/>
        <w:sz w:val="14"/>
        <w:szCs w:val="14"/>
      </w:rPr>
      <w:t>Fax :+</w:t>
    </w:r>
    <w:proofErr w:type="gramEnd"/>
    <w:r>
      <w:rPr>
        <w:rFonts w:ascii="Arial" w:hAnsi="Arial"/>
        <w:color w:val="5B5D6B"/>
        <w:sz w:val="14"/>
        <w:szCs w:val="14"/>
      </w:rPr>
      <w:t>49 (721) 96 58 589 • E-mail: info@profibus.com</w:t>
    </w:r>
  </w:p>
  <w:p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szCs w:val="14"/>
      </w:rPr>
      <w:t>Managing Board:</w:t>
    </w:r>
    <w:r>
      <w:rPr>
        <w:rFonts w:ascii="Arial" w:hAnsi="Arial"/>
        <w:color w:val="5B5D6B"/>
        <w:sz w:val="14"/>
        <w:szCs w:val="14"/>
      </w:rPr>
      <w:t xml:space="preserve"> </w:t>
    </w:r>
    <w:proofErr w:type="spellStart"/>
    <w:r>
      <w:rPr>
        <w:rFonts w:ascii="Arial" w:hAnsi="Arial"/>
        <w:color w:val="5B5D6B"/>
        <w:sz w:val="14"/>
        <w:szCs w:val="14"/>
      </w:rPr>
      <w:t>Karsten</w:t>
    </w:r>
    <w:proofErr w:type="spellEnd"/>
    <w:r>
      <w:rPr>
        <w:rFonts w:ascii="Arial" w:hAnsi="Arial"/>
        <w:color w:val="5B5D6B"/>
        <w:sz w:val="14"/>
        <w:szCs w:val="14"/>
      </w:rPr>
      <w:t xml:space="preserve"> Schneider, (Chairman) • Prof. Dr. Frithjof Klasen</w:t>
    </w:r>
    <w:r w:rsidR="009D1B93">
      <w:rPr>
        <w:rFonts w:ascii="Arial" w:hAnsi="Arial"/>
        <w:color w:val="5B5D6B"/>
        <w:sz w:val="14"/>
        <w:szCs w:val="14"/>
      </w:rPr>
      <w:t xml:space="preserve"> • Dr. </w:t>
    </w:r>
    <w:proofErr w:type="spellStart"/>
    <w:r w:rsidR="009D1B93">
      <w:rPr>
        <w:rFonts w:ascii="Arial" w:hAnsi="Arial"/>
        <w:color w:val="5B5D6B"/>
        <w:sz w:val="14"/>
        <w:szCs w:val="14"/>
      </w:rPr>
      <w:t>Jörg</w:t>
    </w:r>
    <w:proofErr w:type="spellEnd"/>
    <w:r w:rsidR="009D1B93">
      <w:rPr>
        <w:rFonts w:ascii="Arial" w:hAnsi="Arial"/>
        <w:color w:val="5B5D6B"/>
        <w:sz w:val="14"/>
        <w:szCs w:val="14"/>
      </w:rPr>
      <w:t xml:space="preserve"> </w:t>
    </w:r>
    <w:proofErr w:type="spellStart"/>
    <w:r w:rsidR="009D1B93">
      <w:rPr>
        <w:rFonts w:ascii="Arial" w:hAnsi="Arial"/>
        <w:color w:val="5B5D6B"/>
        <w:sz w:val="14"/>
        <w:szCs w:val="14"/>
      </w:rPr>
      <w:t>Hähniche</w:t>
    </w:r>
    <w:proofErr w:type="spellEnd"/>
    <w:r>
      <w:rPr>
        <w:rFonts w:ascii="Arial" w:hAnsi="Arial"/>
        <w:color w:val="5B5D6B"/>
        <w:sz w:val="14"/>
        <w:szCs w:val="14"/>
      </w:rPr>
      <w:t xml:space="preserve"> • </w:t>
    </w:r>
    <w:r>
      <w:rPr>
        <w:rFonts w:ascii="Arial" w:hAnsi="Arial"/>
        <w:b/>
        <w:color w:val="5B5D6B"/>
        <w:sz w:val="14"/>
        <w:szCs w:val="14"/>
      </w:rPr>
      <w:t>Local Court of Mannheim</w:t>
    </w:r>
    <w:r>
      <w:rPr>
        <w:rFonts w:ascii="Arial" w:hAnsi="Arial"/>
        <w:color w:val="5B5D6B"/>
        <w:sz w:val="14"/>
        <w:szCs w:val="14"/>
      </w:rPr>
      <w:t xml:space="preserve"> • </w:t>
    </w:r>
    <w:proofErr w:type="spellStart"/>
    <w:r>
      <w:rPr>
        <w:rFonts w:ascii="Arial" w:hAnsi="Arial"/>
        <w:color w:val="5B5D6B"/>
        <w:sz w:val="14"/>
        <w:szCs w:val="14"/>
      </w:rPr>
      <w:t>Reg</w:t>
    </w:r>
    <w:proofErr w:type="spellEnd"/>
    <w:r>
      <w:rPr>
        <w:rFonts w:ascii="Arial" w:hAnsi="Arial"/>
        <w:color w:val="5B5D6B"/>
        <w:sz w:val="14"/>
        <w:szCs w:val="14"/>
      </w:rPr>
      <w:t xml:space="preserve"> No. VR 102541</w:t>
    </w:r>
  </w:p>
  <w:p w:rsidR="00C830D7" w:rsidRPr="00A30A07" w:rsidRDefault="00C830D7"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FC" w:rsidRDefault="005C19FC" w:rsidP="00FF4B6C">
      <w:pPr>
        <w:spacing w:after="0" w:line="240" w:lineRule="auto"/>
      </w:pPr>
      <w:r>
        <w:separator/>
      </w:r>
    </w:p>
  </w:footnote>
  <w:footnote w:type="continuationSeparator" w:id="0">
    <w:p w:rsidR="005C19FC" w:rsidRDefault="005C19FC"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ED" w:rsidRDefault="008165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25158F" w:rsidP="00FF4B6C">
    <w:pPr>
      <w:pStyle w:val="Lauftext"/>
      <w:spacing w:line="240" w:lineRule="auto"/>
      <w:jc w:val="left"/>
      <w:rPr>
        <w:rFonts w:ascii="Arial" w:hAnsi="Arial" w:cs="Arial"/>
        <w:color w:val="5B5D6B"/>
        <w:sz w:val="14"/>
        <w:szCs w:val="14"/>
      </w:rPr>
    </w:pPr>
    <w:r>
      <w:rPr>
        <w:noProof/>
        <w:lang w:val="de-DE" w:eastAsia="de-DE"/>
      </w:rPr>
      <w:drawing>
        <wp:anchor distT="0" distB="0" distL="114300" distR="114300" simplePos="0" relativeHeight="251661312" behindDoc="1" locked="0" layoutInCell="1" allowOverlap="1" wp14:anchorId="745CDC5F" wp14:editId="297F2B90">
          <wp:simplePos x="0" y="0"/>
          <wp:positionH relativeFrom="column">
            <wp:posOffset>4259580</wp:posOffset>
          </wp:positionH>
          <wp:positionV relativeFrom="paragraph">
            <wp:posOffset>-124460</wp:posOffset>
          </wp:positionV>
          <wp:extent cx="1543050" cy="297180"/>
          <wp:effectExtent l="0" t="0" r="0" b="7620"/>
          <wp:wrapTight wrapText="bothSides">
            <wp:wrapPolygon edited="0">
              <wp:start x="0" y="0"/>
              <wp:lineTo x="0" y="20769"/>
              <wp:lineTo x="21333" y="20769"/>
              <wp:lineTo x="213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Link-Logo_2010_11.jpg"/>
                  <pic:cNvPicPr/>
                </pic:nvPicPr>
                <pic:blipFill>
                  <a:blip r:embed="rId1">
                    <a:extLst>
                      <a:ext uri="{28A0092B-C50C-407E-A947-70E740481C1C}">
                        <a14:useLocalDpi xmlns:a14="http://schemas.microsoft.com/office/drawing/2010/main" val="0"/>
                      </a:ext>
                    </a:extLst>
                  </a:blip>
                  <a:stretch>
                    <a:fillRect/>
                  </a:stretch>
                </pic:blipFill>
                <pic:spPr>
                  <a:xfrm>
                    <a:off x="0" y="0"/>
                    <a:ext cx="1543050" cy="297180"/>
                  </a:xfrm>
                  <a:prstGeom prst="rect">
                    <a:avLst/>
                  </a:prstGeom>
                </pic:spPr>
              </pic:pic>
            </a:graphicData>
          </a:graphic>
          <wp14:sizeRelH relativeFrom="page">
            <wp14:pctWidth>0</wp14:pctWidth>
          </wp14:sizeRelH>
          <wp14:sizeRelV relativeFrom="page">
            <wp14:pctHeight>0</wp14:pctHeight>
          </wp14:sizeRelV>
        </wp:anchor>
      </w:drawing>
    </w:r>
    <w:r w:rsidR="00D8738F">
      <w:rPr>
        <w:rFonts w:ascii="Arial" w:hAnsi="Arial" w:cs="Arial"/>
        <w:noProof/>
        <w:lang w:val="de-DE" w:eastAsia="de-DE"/>
      </w:rPr>
      <w:drawing>
        <wp:anchor distT="0" distB="0" distL="114300" distR="114300" simplePos="0" relativeHeight="251657216" behindDoc="0" locked="0" layoutInCell="1" allowOverlap="1" wp14:anchorId="1DBA3747" wp14:editId="0BE750C6">
          <wp:simplePos x="0" y="0"/>
          <wp:positionH relativeFrom="page">
            <wp:posOffset>5184775</wp:posOffset>
          </wp:positionH>
          <wp:positionV relativeFrom="page">
            <wp:posOffset>993775</wp:posOffset>
          </wp:positionV>
          <wp:extent cx="1581150" cy="647700"/>
          <wp:effectExtent l="0" t="0" r="0" b="0"/>
          <wp:wrapNone/>
          <wp:docPr id="9"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8165ED" w:rsidP="000872FF">
    <w:pPr>
      <w:pStyle w:val="Lauftext"/>
      <w:spacing w:line="240" w:lineRule="auto"/>
      <w:jc w:val="left"/>
    </w:pPr>
    <w:bookmarkStart w:id="0" w:name="_GoBack"/>
    <w:bookmarkEnd w:id="0"/>
    <w:r>
      <w:rPr>
        <w:noProof/>
        <w:lang w:val="de-DE" w:eastAsia="de-DE"/>
      </w:rPr>
      <w:drawing>
        <wp:anchor distT="0" distB="0" distL="114300" distR="114300" simplePos="0" relativeHeight="251663360" behindDoc="1" locked="0" layoutInCell="1" allowOverlap="1" wp14:anchorId="12E07AE5" wp14:editId="48D768A6">
          <wp:simplePos x="0" y="0"/>
          <wp:positionH relativeFrom="column">
            <wp:posOffset>4513580</wp:posOffset>
          </wp:positionH>
          <wp:positionV relativeFrom="paragraph">
            <wp:posOffset>-509905</wp:posOffset>
          </wp:positionV>
          <wp:extent cx="1543050" cy="297180"/>
          <wp:effectExtent l="0" t="0" r="0" b="7620"/>
          <wp:wrapTight wrapText="bothSides">
            <wp:wrapPolygon edited="0">
              <wp:start x="0" y="0"/>
              <wp:lineTo x="0" y="20769"/>
              <wp:lineTo x="21333" y="20769"/>
              <wp:lineTo x="2133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Link-Logo_2010_11.jpg"/>
                  <pic:cNvPicPr/>
                </pic:nvPicPr>
                <pic:blipFill>
                  <a:blip r:embed="rId1">
                    <a:extLst>
                      <a:ext uri="{28A0092B-C50C-407E-A947-70E740481C1C}">
                        <a14:useLocalDpi xmlns:a14="http://schemas.microsoft.com/office/drawing/2010/main" val="0"/>
                      </a:ext>
                    </a:extLst>
                  </a:blip>
                  <a:stretch>
                    <a:fillRect/>
                  </a:stretch>
                </pic:blipFill>
                <pic:spPr>
                  <a:xfrm>
                    <a:off x="0" y="0"/>
                    <a:ext cx="1543050" cy="297180"/>
                  </a:xfrm>
                  <a:prstGeom prst="rect">
                    <a:avLst/>
                  </a:prstGeom>
                </pic:spPr>
              </pic:pic>
            </a:graphicData>
          </a:graphic>
          <wp14:sizeRelH relativeFrom="page">
            <wp14:pctWidth>0</wp14:pctWidth>
          </wp14:sizeRelH>
          <wp14:sizeRelV relativeFrom="page">
            <wp14:pctHeight>0</wp14:pctHeight>
          </wp14:sizeRelV>
        </wp:anchor>
      </w:drawing>
    </w:r>
    <w:r w:rsidR="00B80209">
      <w:rPr>
        <w:noProof/>
        <w:lang w:val="de-DE" w:eastAsia="de-DE"/>
      </w:rPr>
      <w:drawing>
        <wp:anchor distT="0" distB="0" distL="114300" distR="114300" simplePos="0" relativeHeight="251658240" behindDoc="0" locked="0" layoutInCell="1" allowOverlap="1" wp14:anchorId="75A08863" wp14:editId="2A9D28AA">
          <wp:simplePos x="0" y="0"/>
          <wp:positionH relativeFrom="page">
            <wp:posOffset>5413375</wp:posOffset>
          </wp:positionH>
          <wp:positionV relativeFrom="page">
            <wp:posOffset>603250</wp:posOffset>
          </wp:positionV>
          <wp:extent cx="1581150" cy="647700"/>
          <wp:effectExtent l="0" t="0" r="0" b="0"/>
          <wp:wrapNone/>
          <wp:docPr id="10"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65pt;height:4.65pt;visibility:visible" o:bullet="t">
        <v:imagedata r:id="rId1" o:title="letter"/>
      </v:shape>
    </w:pict>
  </w:numPicBullet>
  <w:numPicBullet w:numPicBulletId="1">
    <w:pict>
      <v:shape id="_x0000_i1027" type="#_x0000_t75" alt="phone.jpg" style="width:10.65pt;height:7.65pt;visibility:visible" o:bullet="t">
        <v:imagedata r:id="rId2" o:title="phone"/>
      </v:shape>
    </w:pict>
  </w:numPicBullet>
  <w:numPicBullet w:numPicBulletId="2">
    <w:pict>
      <v:shape id="_x0000_i1028" type="#_x0000_t75" style="width:10.65pt;height:7.6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3"/>
    <w:rsid w:val="000016A8"/>
    <w:rsid w:val="00030369"/>
    <w:rsid w:val="00054323"/>
    <w:rsid w:val="000603F6"/>
    <w:rsid w:val="000872FF"/>
    <w:rsid w:val="000920E3"/>
    <w:rsid w:val="00105882"/>
    <w:rsid w:val="00171F79"/>
    <w:rsid w:val="001C72B2"/>
    <w:rsid w:val="001D58B8"/>
    <w:rsid w:val="001D7239"/>
    <w:rsid w:val="00226748"/>
    <w:rsid w:val="0025158F"/>
    <w:rsid w:val="0028729F"/>
    <w:rsid w:val="002C3FAF"/>
    <w:rsid w:val="002D7C7C"/>
    <w:rsid w:val="002E6D3C"/>
    <w:rsid w:val="003F03EE"/>
    <w:rsid w:val="0044059F"/>
    <w:rsid w:val="0046576F"/>
    <w:rsid w:val="0046660B"/>
    <w:rsid w:val="004A0D45"/>
    <w:rsid w:val="004A4735"/>
    <w:rsid w:val="004E370F"/>
    <w:rsid w:val="004E5E1D"/>
    <w:rsid w:val="004F1B5F"/>
    <w:rsid w:val="004F5638"/>
    <w:rsid w:val="00505185"/>
    <w:rsid w:val="00507DB1"/>
    <w:rsid w:val="0056643D"/>
    <w:rsid w:val="00580BBB"/>
    <w:rsid w:val="005C19FC"/>
    <w:rsid w:val="005D101A"/>
    <w:rsid w:val="005F7262"/>
    <w:rsid w:val="0060395E"/>
    <w:rsid w:val="0066116A"/>
    <w:rsid w:val="006659D0"/>
    <w:rsid w:val="00685610"/>
    <w:rsid w:val="006960BD"/>
    <w:rsid w:val="006E38E0"/>
    <w:rsid w:val="0074000F"/>
    <w:rsid w:val="0076096C"/>
    <w:rsid w:val="0079369F"/>
    <w:rsid w:val="007C2CC2"/>
    <w:rsid w:val="007E7FD6"/>
    <w:rsid w:val="008165ED"/>
    <w:rsid w:val="00821D90"/>
    <w:rsid w:val="0084592B"/>
    <w:rsid w:val="008554C9"/>
    <w:rsid w:val="00857653"/>
    <w:rsid w:val="008A2B5A"/>
    <w:rsid w:val="008E753E"/>
    <w:rsid w:val="00911195"/>
    <w:rsid w:val="00914E96"/>
    <w:rsid w:val="0092238F"/>
    <w:rsid w:val="009223C9"/>
    <w:rsid w:val="009257D2"/>
    <w:rsid w:val="00932302"/>
    <w:rsid w:val="00932E5F"/>
    <w:rsid w:val="00962D44"/>
    <w:rsid w:val="009716B1"/>
    <w:rsid w:val="009751F6"/>
    <w:rsid w:val="009D1B93"/>
    <w:rsid w:val="009E5CC4"/>
    <w:rsid w:val="00A30A07"/>
    <w:rsid w:val="00B359C4"/>
    <w:rsid w:val="00B80209"/>
    <w:rsid w:val="00C830D7"/>
    <w:rsid w:val="00CF2E1A"/>
    <w:rsid w:val="00D5021D"/>
    <w:rsid w:val="00D72CDB"/>
    <w:rsid w:val="00D8738F"/>
    <w:rsid w:val="00DA60E9"/>
    <w:rsid w:val="00E27060"/>
    <w:rsid w:val="00E4072C"/>
    <w:rsid w:val="00E52794"/>
    <w:rsid w:val="00E74C76"/>
    <w:rsid w:val="00E8535D"/>
    <w:rsid w:val="00EA1EBC"/>
    <w:rsid w:val="00EB311A"/>
    <w:rsid w:val="00EC1EB3"/>
    <w:rsid w:val="00EC4B7C"/>
    <w:rsid w:val="00ED6292"/>
    <w:rsid w:val="00F54893"/>
    <w:rsid w:val="00F554B6"/>
    <w:rsid w:val="00F66917"/>
    <w:rsid w:val="00F8399F"/>
    <w:rsid w:val="00F95002"/>
    <w:rsid w:val="00FD6799"/>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_IO_Link_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Presse_IO_Link_dt.dotx</Template>
  <TotalTime>0</TotalTime>
  <Pages>2</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2612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Iris Dilzer</cp:lastModifiedBy>
  <cp:revision>8</cp:revision>
  <cp:lastPrinted>2017-08-31T10:37:00Z</cp:lastPrinted>
  <dcterms:created xsi:type="dcterms:W3CDTF">2017-08-30T13:28:00Z</dcterms:created>
  <dcterms:modified xsi:type="dcterms:W3CDTF">2017-08-31T12:25:00Z</dcterms:modified>
</cp:coreProperties>
</file>